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EĞİTM-ÖĞRETİM YILI  GAZİPAŞA MESLEKİ VE TEKNİK ANADOLU LİSESİ ELEKTRİK-ELEKTRONİK TEKNOLOJİSİ ALANI 11. SINIF  MİKRODENETLEYİCİLER VE GVENLİK ATÖLYESİ DERSİ GNLÜK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08-12 Aralk (14.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3.3. Nem sensörü kullanarak mikrodenetleyici ile uygulama yapımı </w:t>
              <w:br/>
              <w:t>3.4. Hareket sensörü kullanarak mikrodenetleyici ile uygulama yapımı </w:t>
              <w:br/>
              <w:t>3.5. Ultrasonik sensörü kullanarak mikrodenetleyici ile uygulama yapımı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Mikrodenetleyici ile sensör uygulamalarını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Mevlana Haftası, İnsan Hakları ve Demokrasi Haftası</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Mikrodenetleyici ile Sensör Uygulamaları Dersi Planı</w:t>
              <w:br/>
              <w:t/>
              <w:br/>
              <w:t>#### Genel Bilgiler</w:t>
              <w:br/>
              <w:t>- **Ders Süresi:** 360 dakika (9 ders saati)</w:t>
              <w:br/>
              <w:t>- **Dersin Amacı:** Öğrencilerin mikrodenetleyiciler ve sensörler hakkında bilgi sahibi olmalarını sağlamak, bu bilgileri uygulamalı projelerde kullanmalarını teşvik etmek.</w:t>
              <w:br/>
              <w:t>- **Hedef Kitle:** 11. sınıf öğrencileri</w:t>
              <w:br/>
              <w:t/>
              <w:br/>
              <w:t>#### 1. Öğrenme Süreci</w:t>
              <w:br/>
              <w:t/>
              <w:br/>
              <w:t>**Aşama 1: Giriş ve Temel Bilgiler (60 dakika)**</w:t>
              <w:br/>
              <w:t>- **Etkinlikler:** </w:t>
              <w:br/>
              <w:t>  - Mikrodenetleyici ve sensörlerin tanıtımı.</w:t>
              <w:br/>
              <w:t>  - Çeşitli sensör türleri (ısı, ışık, hareket, vb.) hakkında bilgi.</w:t>
              <w:br/>
              <w:t>  - Öğrencilerin ilgisini çekmek için günlük hayatta kullanılan örnekler (örneğin, akıllı ev sistemleri).</w:t>
              <w:br/>
              <w:t>- **Yöntem:** Anlatım ve grup tartışmaları.</w:t>
              <w:br/>
              <w:t>- **Değerlendirme:** Öğrencilerin katılımı ve sorulara verdikleri yanıtlar.</w:t>
              <w:br/>
              <w:t/>
              <w:br/>
              <w:t>**Aşama 2: Temel Devre Tasarımı (60 dakika)**</w:t>
              <w:br/>
              <w:t>- **Etkinlikler:** </w:t>
              <w:br/>
              <w:t>  - Basit bir devre tasarımı yapma. (LED, direnç, mikrodenetleyici kullanarak)</w:t>
              <w:br/>
              <w:t>  - Devre elemanlarının işlevleri hakkında bilgi verme.</w:t>
              <w:br/>
              <w:t>- **Yöntem:** Uygulamalı çalışma.</w:t>
              <w:br/>
              <w:t>- **Değerlendirme:** Öğrencilerin devreyi kurma becerileri gözlemlenecek.</w:t>
              <w:br/>
              <w:t/>
              <w:br/>
              <w:t>**Aşama 3: Sensör Entegrasyonu (60 dakika)**</w:t>
              <w:br/>
              <w:t>- **Etkinlikler:** </w:t>
              <w:br/>
              <w:t>  - Belirli bir sensör (örneğin, sıcaklık sensörü) ile mikrodenetleyiciyi entegre etme.</w:t>
              <w:br/>
              <w:t>  - Sensör verilerinin okunması ve yorumlanması.</w:t>
              <w:br/>
              <w:t>- **Yöntem:** Grup çalışması.</w:t>
              <w:br/>
              <w:t>- **Değerlendirme:** Her grubun sensör verilerini doğru bir şekilde okuyup okuyamadığı kontrol edilecek.</w:t>
              <w:br/>
              <w:t/>
              <w:br/>
              <w:t>**Aşama 4: Proje Geliştirme (120 dakika)**</w:t>
              <w:br/>
              <w:t>- **Etkinlikler:** </w:t>
              <w:br/>
              <w:t>  - Öğrenciler, belirli bir sensör ile bir proje geliştirecekler (örneğin, sıcaklık izleme sistemi).</w:t>
              <w:br/>
              <w:t>  - Proje geliştirme sürecinde öğrenciler, tasarım, uygulama ve test aşamalarını geçirecekler.</w:t>
              <w:br/>
              <w:t>- **Yöntem:** Proje tabanlı öğrenme.</w:t>
              <w:br/>
              <w:t>- **Değerlendirme:** Projelerin sunumu ve işlevselliği değerlendirilecek.</w:t>
              <w:br/>
              <w:t/>
              <w:br/>
              <w:t>**Aşama 5: Sonuç ve Değerlendirme (60 dakika)**</w:t>
              <w:br/>
              <w:t>- **Etkinlikler:** </w:t>
              <w:br/>
              <w:t>  - Projelerin sunumu ve grup içi geri bildirim.</w:t>
              <w:br/>
              <w:t>  - Öğrencilerin öğrendiklerini paylaşmaları için bir tartışma ortamı oluşturma.</w:t>
              <w:br/>
              <w:t>- **Yöntem:** Sınıf tartışması ve bireysel geri bildirim.</w:t>
              <w:br/>
              <w:t>- **Değerlendirme:** Sunumların değerlendirilmesi ve öğrenci geri bildirimleri.</w:t>
              <w:br/>
              <w:t/>
              <w:br/>
              <w:t>#### 2. Değerlendirme Yöntemleri</w:t>
              <w:br/>
              <w:t>1. **Gözlem:** Öğrencilerin grup çalışmalarındaki katılımı ve işbirliği gözlemlenecek.</w:t>
              <w:br/>
              <w:t>2. **Proje Sunumu:** Geliştirilen projelerin sunumu sırasında işlevsellik ve yaratıcılık değerlendirilecek.</w:t>
              <w:br/>
              <w:t>3. **Kısa Sınav:** Temel kavramlar ve sensörler hakkında bilgi ölçümü için kısa bir sınav yapılacak.</w:t>
              <w:br/>
              <w:t/>
              <w:br/>
              <w:t>#### 3. Günlük Hayatla Bağlantılar</w:t>
              <w:br/>
              <w:t>- Öğrenciler, mikrodenetleyicilerin günlük yaşamda nasıl kullanıldığını (örneğin, akıllı ev sistemleri, otomasyon) öğrenerek bu bilgileri projelerine entegre edebilirler.</w:t>
              <w:br/>
              <w:t>- Sensörlerin çevresel izleme ve veri toplama konusundaki önemini vurgulamak.</w:t>
              <w:br/>
              <w:t/>
              <w:br/>
              <w:t>#### 4. Farklı Öğrenme Stillerine Uygun Etkinlikler</w:t>
              <w:br/>
              <w:t>- **Görsel Öğrenenler:** Devre şemaları ve grafikler ile desteklenmiş sunumlar.</w:t>
              <w:br/>
              <w:t>- **İşitsel Öğrenenler:** Grup tartışmaları ve öğretmen anlatımları.</w:t>
              <w:br/>
              <w:t>- **Kinestetik Öğrenenler:** Uygulamalı projeler ve devre kurma etkinlikleri.</w:t>
              <w:br/>
              <w:t/>
              <w:br/>
              <w:t>#### Sonuç</w:t>
              <w:br/>
              <w:t>Bu ders planı, öğrencilerin mikrodenetleyiciler ve sensörler hakkında bilgi edinmelerini sağlarken, aynı zamanda uygulamalı beceriler kazanmalarına olanak tanıyacaktır. Proje tabanlı öğrenme yaklaşımı ile öğrenciler, teorik bilgilerini pratiğe dökme fırsatı bulacaklar. Değerlendirme yöntemleri ile öğrenme süreçleri sürekli olarak gözlemlenecek ve geliştirilmesi gereken alanlar belirlenecektir.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26.09.2025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